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5BC9263"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A26F1">
        <w:rPr>
          <w:bCs/>
          <w:noProof w:val="0"/>
          <w:sz w:val="24"/>
          <w:szCs w:val="24"/>
        </w:rPr>
        <w:t>7</w:t>
      </w:r>
      <w:r w:rsidR="007E04BE">
        <w:rPr>
          <w:bCs/>
          <w:noProof w:val="0"/>
          <w:sz w:val="24"/>
          <w:szCs w:val="24"/>
        </w:rPr>
        <w:t>bis</w:t>
      </w:r>
      <w:r w:rsidRPr="00B266B0">
        <w:rPr>
          <w:bCs/>
          <w:noProof w:val="0"/>
          <w:sz w:val="24"/>
          <w:szCs w:val="24"/>
        </w:rPr>
        <w:tab/>
      </w:r>
      <w:r w:rsidR="007E04BE" w:rsidRPr="007E04BE">
        <w:rPr>
          <w:bCs/>
          <w:noProof w:val="0"/>
          <w:sz w:val="24"/>
          <w:szCs w:val="24"/>
        </w:rPr>
        <w:t>R2-1913461</w:t>
      </w:r>
    </w:p>
    <w:p w14:paraId="11776FA6" w14:textId="78230835" w:rsidR="00A209D6" w:rsidRPr="00465587" w:rsidRDefault="007E04BE" w:rsidP="00A209D6">
      <w:pPr>
        <w:pStyle w:val="Header"/>
        <w:tabs>
          <w:tab w:val="right" w:pos="9639"/>
        </w:tabs>
        <w:rPr>
          <w:rFonts w:eastAsia="SimSun"/>
          <w:bCs/>
          <w:sz w:val="24"/>
          <w:szCs w:val="24"/>
          <w:lang w:eastAsia="zh-CN"/>
        </w:rPr>
      </w:pPr>
      <w:r>
        <w:rPr>
          <w:rFonts w:eastAsia="SimSun"/>
          <w:bCs/>
          <w:sz w:val="24"/>
          <w:szCs w:val="24"/>
          <w:lang w:eastAsia="zh-CN"/>
        </w:rPr>
        <w:t>Chongqinq</w:t>
      </w:r>
      <w:r w:rsidR="00F036E9" w:rsidRPr="007E04BE">
        <w:rPr>
          <w:rFonts w:eastAsia="SimSun"/>
          <w:bCs/>
          <w:sz w:val="24"/>
          <w:szCs w:val="24"/>
          <w:lang w:eastAsia="zh-CN"/>
        </w:rPr>
        <w:t xml:space="preserve">,  </w:t>
      </w:r>
      <w:r>
        <w:rPr>
          <w:rFonts w:eastAsia="SimSun"/>
          <w:bCs/>
          <w:sz w:val="24"/>
          <w:szCs w:val="24"/>
          <w:lang w:eastAsia="zh-CN"/>
        </w:rPr>
        <w:t>China</w:t>
      </w:r>
      <w:r w:rsidR="00F036E9" w:rsidRPr="007E04BE">
        <w:rPr>
          <w:rFonts w:eastAsia="SimSun"/>
          <w:bCs/>
          <w:sz w:val="24"/>
          <w:szCs w:val="24"/>
          <w:lang w:eastAsia="zh-CN"/>
        </w:rPr>
        <w:t xml:space="preserve">, </w:t>
      </w:r>
      <w:r>
        <w:rPr>
          <w:rFonts w:eastAsia="SimSun"/>
          <w:bCs/>
          <w:sz w:val="24"/>
          <w:szCs w:val="24"/>
          <w:lang w:eastAsia="zh-CN"/>
        </w:rPr>
        <w:t>14</w:t>
      </w:r>
      <w:r w:rsidR="00F036E9" w:rsidRPr="007E04BE">
        <w:rPr>
          <w:rFonts w:eastAsia="SimSun"/>
          <w:bCs/>
          <w:sz w:val="24"/>
          <w:szCs w:val="24"/>
          <w:lang w:eastAsia="zh-CN"/>
        </w:rPr>
        <w:t xml:space="preserve"> – </w:t>
      </w:r>
      <w:r>
        <w:rPr>
          <w:rFonts w:eastAsia="SimSun"/>
          <w:bCs/>
          <w:sz w:val="24"/>
          <w:szCs w:val="24"/>
          <w:lang w:eastAsia="zh-CN"/>
        </w:rPr>
        <w:t>18</w:t>
      </w:r>
      <w:r w:rsidR="00F036E9" w:rsidRPr="007E04BE">
        <w:rPr>
          <w:rFonts w:eastAsia="SimSun"/>
          <w:bCs/>
          <w:sz w:val="24"/>
          <w:szCs w:val="24"/>
          <w:lang w:eastAsia="zh-CN"/>
        </w:rPr>
        <w:t xml:space="preserve"> </w:t>
      </w:r>
      <w:r>
        <w:rPr>
          <w:rFonts w:eastAsia="SimSun"/>
          <w:bCs/>
          <w:sz w:val="24"/>
          <w:szCs w:val="24"/>
          <w:lang w:eastAsia="zh-CN"/>
        </w:rPr>
        <w:t xml:space="preserve">October </w:t>
      </w:r>
      <w:r w:rsidR="00F036E9" w:rsidRPr="007E04BE">
        <w:rPr>
          <w:rFonts w:eastAsia="SimSun"/>
          <w:bCs/>
          <w:sz w:val="24"/>
          <w:szCs w:val="24"/>
          <w:lang w:eastAsia="zh-CN"/>
        </w:rPr>
        <w:t>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FEE798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E04BE" w:rsidRPr="007E04BE">
        <w:rPr>
          <w:rFonts w:cs="Arial"/>
          <w:b/>
          <w:bCs/>
          <w:sz w:val="24"/>
        </w:rPr>
        <w:t>6.1.5.2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8F8D050"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70D16">
        <w:rPr>
          <w:rFonts w:ascii="Arial" w:hAnsi="Arial" w:cs="Arial"/>
          <w:b/>
          <w:bCs/>
          <w:sz w:val="24"/>
        </w:rPr>
        <w:t xml:space="preserve">IAB initial access and </w:t>
      </w:r>
      <w:r w:rsidR="00E4342D">
        <w:rPr>
          <w:rFonts w:ascii="Arial" w:hAnsi="Arial" w:cs="Arial"/>
          <w:b/>
          <w:bCs/>
          <w:sz w:val="24"/>
        </w:rPr>
        <w:t>IAB support indication</w:t>
      </w:r>
    </w:p>
    <w:p w14:paraId="1F147C23" w14:textId="6E883336"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4342D">
        <w:rPr>
          <w:rFonts w:ascii="Arial" w:hAnsi="Arial" w:cs="Arial"/>
          <w:b/>
          <w:bCs/>
          <w:sz w:val="24"/>
        </w:rPr>
        <w:t>NR_IAB</w:t>
      </w:r>
      <w:r w:rsidRPr="00112F1A">
        <w:rPr>
          <w:rFonts w:ascii="Arial" w:hAnsi="Arial" w:cs="Arial"/>
          <w:b/>
          <w:bCs/>
          <w:sz w:val="24"/>
        </w:rPr>
        <w:t xml:space="preserve"> </w:t>
      </w:r>
      <w:r>
        <w:rPr>
          <w:rFonts w:ascii="Arial" w:hAnsi="Arial" w:cs="Arial"/>
          <w:b/>
          <w:bCs/>
          <w:sz w:val="24"/>
        </w:rPr>
        <w:t xml:space="preserve">- Release </w:t>
      </w:r>
      <w:r w:rsidR="00E4342D">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2CFE532" w14:textId="560C6089" w:rsidR="00080F9C" w:rsidRDefault="006F361D" w:rsidP="00A209D6">
      <w:r>
        <w:t>This contribution discusses aspects related to IAB-MT initial access and IAB support indication in different architectural options of IAB.</w:t>
      </w:r>
    </w:p>
    <w:p w14:paraId="2BBFF540" w14:textId="06CA43DB" w:rsidR="00A209D6" w:rsidRPr="00080F9C" w:rsidRDefault="00A209D6" w:rsidP="00A209D6">
      <w:pPr>
        <w:pStyle w:val="Heading1"/>
        <w:rPr>
          <w:lang w:val="en-US"/>
        </w:rPr>
      </w:pPr>
      <w:r w:rsidRPr="00080F9C">
        <w:rPr>
          <w:lang w:val="en-US"/>
        </w:rPr>
        <w:t>2</w:t>
      </w:r>
      <w:r w:rsidRPr="00080F9C">
        <w:rPr>
          <w:lang w:val="en-US"/>
        </w:rPr>
        <w:tab/>
      </w:r>
      <w:r w:rsidR="006F361D">
        <w:rPr>
          <w:lang w:val="en-US"/>
        </w:rPr>
        <w:t xml:space="preserve">IAB support indication </w:t>
      </w:r>
      <w:r w:rsidR="00CB42AE">
        <w:rPr>
          <w:lang w:val="en-US"/>
        </w:rPr>
        <w:t>in</w:t>
      </w:r>
      <w:r w:rsidR="006F361D">
        <w:rPr>
          <w:lang w:val="en-US"/>
        </w:rPr>
        <w:t xml:space="preserve"> IAB SA</w:t>
      </w:r>
      <w:r w:rsidR="00CB42AE">
        <w:rPr>
          <w:lang w:val="en-US"/>
        </w:rPr>
        <w:t xml:space="preserve"> </w:t>
      </w:r>
      <w:r w:rsidR="006F361D">
        <w:rPr>
          <w:lang w:val="en-US"/>
        </w:rPr>
        <w:t>deployment</w:t>
      </w:r>
      <w:r w:rsidR="00CB42AE">
        <w:rPr>
          <w:lang w:val="en-US"/>
        </w:rPr>
        <w:t>s</w:t>
      </w:r>
    </w:p>
    <w:p w14:paraId="787AF032" w14:textId="6846A006" w:rsidR="006F361D" w:rsidRDefault="006F361D" w:rsidP="006F361D">
      <w:r>
        <w:t>RAN3 has discussed several options for IAB parent node selection among four options:</w:t>
      </w:r>
    </w:p>
    <w:p w14:paraId="1F5DAEF8" w14:textId="77777777" w:rsidR="006F361D" w:rsidRPr="008521DB" w:rsidRDefault="006F361D" w:rsidP="006F361D">
      <w:pPr>
        <w:numPr>
          <w:ilvl w:val="0"/>
          <w:numId w:val="9"/>
        </w:numPr>
        <w:rPr>
          <w:lang w:val="en-US"/>
        </w:rPr>
      </w:pPr>
      <w:r w:rsidRPr="008521DB">
        <w:rPr>
          <w:lang w:val="en-US"/>
        </w:rPr>
        <w:t>Option 1, via OAM (pre-configuration)</w:t>
      </w:r>
    </w:p>
    <w:p w14:paraId="680E2866" w14:textId="77777777" w:rsidR="006F361D" w:rsidRPr="008521DB" w:rsidRDefault="006F361D" w:rsidP="006F361D">
      <w:pPr>
        <w:numPr>
          <w:ilvl w:val="0"/>
          <w:numId w:val="9"/>
        </w:numPr>
        <w:rPr>
          <w:lang w:val="en-US"/>
        </w:rPr>
      </w:pPr>
      <w:r w:rsidRPr="008521DB">
        <w:rPr>
          <w:lang w:val="en-US"/>
        </w:rPr>
        <w:t xml:space="preserve">Option 2, via OAM (Rel-10 relay-like way) </w:t>
      </w:r>
    </w:p>
    <w:p w14:paraId="0230B5C3" w14:textId="77777777" w:rsidR="006F361D" w:rsidRPr="008521DB" w:rsidRDefault="006F361D" w:rsidP="006F361D">
      <w:pPr>
        <w:numPr>
          <w:ilvl w:val="0"/>
          <w:numId w:val="9"/>
        </w:numPr>
        <w:rPr>
          <w:lang w:val="en-US"/>
        </w:rPr>
      </w:pPr>
      <w:r w:rsidRPr="008521DB">
        <w:rPr>
          <w:lang w:val="en-US"/>
        </w:rPr>
        <w:t> Option 3, via new signaling</w:t>
      </w:r>
      <w:r>
        <w:rPr>
          <w:lang w:val="en-US"/>
        </w:rPr>
        <w:t xml:space="preserve"> (explicit or implicit)</w:t>
      </w:r>
      <w:r w:rsidRPr="008521DB">
        <w:rPr>
          <w:lang w:val="en-US"/>
        </w:rPr>
        <w:t>, the system info from IAB-DU or IAB-donor</w:t>
      </w:r>
    </w:p>
    <w:p w14:paraId="21B9B21D" w14:textId="77777777" w:rsidR="006F361D" w:rsidRPr="008521DB" w:rsidRDefault="006F361D" w:rsidP="006F361D">
      <w:pPr>
        <w:numPr>
          <w:ilvl w:val="0"/>
          <w:numId w:val="9"/>
        </w:numPr>
        <w:rPr>
          <w:lang w:val="en-US"/>
        </w:rPr>
      </w:pPr>
      <w:bookmarkStart w:id="0" w:name="_Hlk16426496"/>
      <w:r w:rsidRPr="008521DB">
        <w:rPr>
          <w:lang w:val="en-US"/>
        </w:rPr>
        <w:t xml:space="preserve">Option 4, where IAB-node </w:t>
      </w:r>
      <w:r>
        <w:rPr>
          <w:lang w:val="en-US"/>
        </w:rPr>
        <w:t xml:space="preserve">first </w:t>
      </w:r>
      <w:r w:rsidRPr="008521DB">
        <w:rPr>
          <w:lang w:val="en-US"/>
        </w:rPr>
        <w:t xml:space="preserve">connects to any cell </w:t>
      </w:r>
      <w:r>
        <w:rPr>
          <w:lang w:val="en-US"/>
        </w:rPr>
        <w:t xml:space="preserve">(potentially not supporting IAB) </w:t>
      </w:r>
      <w:r w:rsidRPr="008521DB">
        <w:rPr>
          <w:lang w:val="en-US"/>
        </w:rPr>
        <w:t xml:space="preserve">and </w:t>
      </w:r>
      <w:r>
        <w:rPr>
          <w:lang w:val="en-US"/>
        </w:rPr>
        <w:t xml:space="preserve">afterwards can be moved to a proper IAB node or IAB Donor via </w:t>
      </w:r>
      <w:r w:rsidRPr="008521DB">
        <w:rPr>
          <w:lang w:val="en-US"/>
        </w:rPr>
        <w:t>handover/redirection mechanisms</w:t>
      </w:r>
      <w:bookmarkEnd w:id="0"/>
    </w:p>
    <w:p w14:paraId="55F778EA" w14:textId="695072EC" w:rsidR="00814E47" w:rsidRDefault="00814E47" w:rsidP="00A209D6">
      <w:pPr>
        <w:rPr>
          <w:lang w:val="en-US"/>
        </w:rPr>
      </w:pPr>
      <w:r>
        <w:rPr>
          <w:lang w:val="en-US"/>
        </w:rPr>
        <w:t xml:space="preserve">Even though initially RAN3 assumed that option 4 is </w:t>
      </w:r>
      <w:proofErr w:type="gramStart"/>
      <w:r>
        <w:rPr>
          <w:lang w:val="en-US"/>
        </w:rPr>
        <w:t>sufficient</w:t>
      </w:r>
      <w:proofErr w:type="gramEnd"/>
      <w:r>
        <w:rPr>
          <w:lang w:val="en-US"/>
        </w:rPr>
        <w:t>, eventually they decided to support option 3, which requires signaling in System information. This is captured in RAN3 LS in [1]:</w:t>
      </w:r>
    </w:p>
    <w:tbl>
      <w:tblPr>
        <w:tblStyle w:val="TableGrid"/>
        <w:tblW w:w="0" w:type="auto"/>
        <w:tblLook w:val="04A0" w:firstRow="1" w:lastRow="0" w:firstColumn="1" w:lastColumn="0" w:noHBand="0" w:noVBand="1"/>
      </w:tblPr>
      <w:tblGrid>
        <w:gridCol w:w="9631"/>
      </w:tblGrid>
      <w:tr w:rsidR="00814E47" w14:paraId="352EF103" w14:textId="77777777" w:rsidTr="00814E47">
        <w:tc>
          <w:tcPr>
            <w:tcW w:w="9631" w:type="dxa"/>
          </w:tcPr>
          <w:p w14:paraId="1EC636BF" w14:textId="36197E02" w:rsidR="00814E47" w:rsidRPr="00814E47" w:rsidRDefault="00814E47" w:rsidP="00814E47">
            <w:pPr>
              <w:spacing w:after="0"/>
              <w:rPr>
                <w:rFonts w:ascii="Arial" w:hAnsi="Arial" w:cs="Arial"/>
              </w:rPr>
            </w:pPr>
            <w:r>
              <w:rPr>
                <w:rFonts w:ascii="Arial" w:hAnsi="Arial" w:cs="Arial"/>
              </w:rPr>
              <w:t>For parent node selection, RAN3 agreed option 3 that IAB-node or IAB-donor-DU broadcast an indication over the air interface, so the IAB-node MT can select an IAB-node or IAB-donor-DU as its parent node.</w:t>
            </w:r>
          </w:p>
        </w:tc>
      </w:tr>
    </w:tbl>
    <w:p w14:paraId="4E55BC52" w14:textId="2FA5D336" w:rsidR="00814E47" w:rsidRDefault="00814E47" w:rsidP="00A209D6">
      <w:pPr>
        <w:rPr>
          <w:lang w:val="en-US"/>
        </w:rPr>
      </w:pPr>
    </w:p>
    <w:p w14:paraId="07A498E9" w14:textId="2866A492" w:rsidR="00814E47" w:rsidRDefault="00814E47" w:rsidP="00A209D6">
      <w:pPr>
        <w:rPr>
          <w:lang w:val="en-US"/>
        </w:rPr>
      </w:pPr>
      <w:r>
        <w:rPr>
          <w:lang w:val="en-US"/>
        </w:rPr>
        <w:t>Further, RAN3 asks the following from RAN2 in this LS:</w:t>
      </w:r>
    </w:p>
    <w:tbl>
      <w:tblPr>
        <w:tblStyle w:val="TableGrid"/>
        <w:tblW w:w="0" w:type="auto"/>
        <w:tblLook w:val="04A0" w:firstRow="1" w:lastRow="0" w:firstColumn="1" w:lastColumn="0" w:noHBand="0" w:noVBand="1"/>
      </w:tblPr>
      <w:tblGrid>
        <w:gridCol w:w="9631"/>
      </w:tblGrid>
      <w:tr w:rsidR="00814E47" w14:paraId="2095A2AF" w14:textId="77777777" w:rsidTr="00814E47">
        <w:tc>
          <w:tcPr>
            <w:tcW w:w="9631" w:type="dxa"/>
          </w:tcPr>
          <w:p w14:paraId="42646579" w14:textId="64E15350" w:rsidR="00814E47" w:rsidRPr="00814E47" w:rsidRDefault="00814E47" w:rsidP="00814E47">
            <w:pPr>
              <w:spacing w:after="120"/>
              <w:ind w:left="1281" w:hanging="993"/>
              <w:rPr>
                <w:rFonts w:ascii="Arial" w:hAnsi="Arial" w:cs="Arial"/>
              </w:rPr>
            </w:pPr>
            <w:r>
              <w:rPr>
                <w:rFonts w:ascii="Arial" w:hAnsi="Arial" w:cs="Arial"/>
                <w:b/>
              </w:rPr>
              <w:t xml:space="preserve">ACTION TO RAN2: </w:t>
            </w:r>
            <w:r>
              <w:rPr>
                <w:rFonts w:ascii="Arial" w:hAnsi="Arial" w:cs="Arial"/>
                <w:b/>
              </w:rPr>
              <w:tab/>
            </w:r>
            <w:r w:rsidRPr="001B39BB">
              <w:rPr>
                <w:rFonts w:ascii="Arial" w:hAnsi="Arial" w:cs="Arial"/>
              </w:rPr>
              <w:t xml:space="preserve">RAN3 </w:t>
            </w:r>
            <w:r>
              <w:rPr>
                <w:rFonts w:ascii="Arial" w:hAnsi="Arial" w:cs="Arial"/>
              </w:rPr>
              <w:t xml:space="preserve">kindly asks RAN2 to support over the air indication for parent node selection. RAN3 also kindly asks RAN2 to confirm the assumption that RRC message 5 includes an IAB-indication so that RAN can select an AMF/MME supporting IAB. </w:t>
            </w:r>
          </w:p>
        </w:tc>
      </w:tr>
    </w:tbl>
    <w:p w14:paraId="04C42C7D" w14:textId="7EA8001A" w:rsidR="00814E47" w:rsidRDefault="00814E47" w:rsidP="00A209D6">
      <w:pPr>
        <w:rPr>
          <w:lang w:val="en-US"/>
        </w:rPr>
      </w:pPr>
    </w:p>
    <w:p w14:paraId="52F386DB" w14:textId="18C5D7F2" w:rsidR="00814E47" w:rsidRDefault="00814E47" w:rsidP="00814E47">
      <w:r>
        <w:rPr>
          <w:lang w:val="en-US"/>
        </w:rPr>
        <w:t>RAN3 did not conclude whether such indication should be explicit or implicit, i.e.</w:t>
      </w:r>
      <w:r>
        <w:t xml:space="preserve"> deduced by identifying a presence of IAB specific configurations in System Information. In our opinion, the IAB-specific configurations of PRACH considered by RAN1 could be used, but such PHY enhancements are not mandatory for the network to implement and may not always be available. Having a one-bit indication in SIB1 on the other hand, is a very simple and straightforward option and we prefer this approach.</w:t>
      </w:r>
    </w:p>
    <w:p w14:paraId="63895101" w14:textId="3015B02B" w:rsidR="00814E47" w:rsidRPr="009D4064" w:rsidRDefault="00814E47" w:rsidP="00814E47">
      <w:pPr>
        <w:rPr>
          <w:b/>
        </w:rPr>
      </w:pPr>
      <w:r>
        <w:rPr>
          <w:b/>
        </w:rPr>
        <w:t>Proposal 1: Introduce explicit indication (e.g. one-bit flag) of IAB support in SIB1.</w:t>
      </w:r>
    </w:p>
    <w:p w14:paraId="0E18DEAF" w14:textId="286B2465" w:rsidR="00814E47" w:rsidRDefault="00814E47" w:rsidP="00A209D6">
      <w:r>
        <w:t>When it comes to the second request from RAN3, we do not see any issue with enhancing RRC Setup Complete message with IAB indication to be used by IAB-MT to assist RAN with AMF/MME selection.</w:t>
      </w:r>
      <w:r w:rsidR="00CB42AE">
        <w:t xml:space="preserve"> Since the request is for both AMF and MME selection, it refers to message 5 of both LTE and NR.</w:t>
      </w:r>
    </w:p>
    <w:p w14:paraId="72BB17D9" w14:textId="0644DCE6" w:rsidR="00814E47" w:rsidRPr="00814E47" w:rsidRDefault="00814E47" w:rsidP="00A209D6">
      <w:pPr>
        <w:rPr>
          <w:b/>
        </w:rPr>
      </w:pPr>
      <w:r>
        <w:rPr>
          <w:b/>
        </w:rPr>
        <w:t xml:space="preserve">Proposal 2: </w:t>
      </w:r>
      <w:r w:rsidR="00CB42AE">
        <w:rPr>
          <w:b/>
        </w:rPr>
        <w:t xml:space="preserve">Introduce IAB-indication in </w:t>
      </w:r>
      <w:proofErr w:type="spellStart"/>
      <w:r w:rsidR="00CB42AE">
        <w:rPr>
          <w:b/>
        </w:rPr>
        <w:t>RRCSetupComplete</w:t>
      </w:r>
      <w:proofErr w:type="spellEnd"/>
      <w:r w:rsidR="00CB42AE">
        <w:rPr>
          <w:b/>
        </w:rPr>
        <w:t xml:space="preserve"> message in 38.331 and </w:t>
      </w:r>
      <w:proofErr w:type="spellStart"/>
      <w:r w:rsidR="00CB42AE">
        <w:rPr>
          <w:b/>
        </w:rPr>
        <w:t>R</w:t>
      </w:r>
      <w:r w:rsidR="00CB42AE" w:rsidRPr="00CB42AE">
        <w:rPr>
          <w:b/>
        </w:rPr>
        <w:t>RCConnectionSetupComplet</w:t>
      </w:r>
      <w:r w:rsidR="00CB42AE">
        <w:rPr>
          <w:b/>
        </w:rPr>
        <w:t>e</w:t>
      </w:r>
      <w:proofErr w:type="spellEnd"/>
      <w:r w:rsidR="00CB42AE">
        <w:rPr>
          <w:b/>
        </w:rPr>
        <w:t xml:space="preserve"> message in TS 36.331.</w:t>
      </w:r>
    </w:p>
    <w:p w14:paraId="69332CED" w14:textId="5D010069" w:rsidR="00CB42AE" w:rsidRPr="00080F9C" w:rsidRDefault="00CB42AE" w:rsidP="00CB42AE">
      <w:pPr>
        <w:pStyle w:val="Heading1"/>
        <w:rPr>
          <w:lang w:val="en-US"/>
        </w:rPr>
      </w:pPr>
      <w:r w:rsidRPr="00080F9C">
        <w:rPr>
          <w:lang w:val="en-US"/>
        </w:rPr>
        <w:lastRenderedPageBreak/>
        <w:t>2</w:t>
      </w:r>
      <w:r w:rsidRPr="00080F9C">
        <w:rPr>
          <w:lang w:val="en-US"/>
        </w:rPr>
        <w:tab/>
      </w:r>
      <w:r>
        <w:rPr>
          <w:lang w:val="en-US"/>
        </w:rPr>
        <w:t>IAB support indication in IAB NSA deployments</w:t>
      </w:r>
    </w:p>
    <w:p w14:paraId="2D22E91C" w14:textId="3C83553B" w:rsidR="00C24B8B" w:rsidRDefault="005A01CF" w:rsidP="00B425C0">
      <w:pPr>
        <w:rPr>
          <w:lang w:val="en-US"/>
        </w:rPr>
      </w:pPr>
      <w:r>
        <w:rPr>
          <w:lang w:val="en-US"/>
        </w:rPr>
        <w:t xml:space="preserve">In [2], one of the options to support </w:t>
      </w:r>
      <w:r w:rsidR="00C24B8B">
        <w:rPr>
          <w:lang w:val="en-US"/>
        </w:rPr>
        <w:t xml:space="preserve">NSA UEs with IAB, is to deploy IAB nodes in SA mode as presented </w:t>
      </w:r>
      <w:r w:rsidR="00454E0F">
        <w:rPr>
          <w:lang w:val="en-US"/>
        </w:rPr>
        <w:t xml:space="preserve">by option b) </w:t>
      </w:r>
      <w:r w:rsidR="00C24B8B">
        <w:rPr>
          <w:lang w:val="en-US"/>
        </w:rPr>
        <w:t xml:space="preserve">in </w:t>
      </w:r>
      <w:r w:rsidR="00C24B8B">
        <w:rPr>
          <w:lang w:val="en-US"/>
        </w:rPr>
        <w:fldChar w:fldCharType="begin"/>
      </w:r>
      <w:r w:rsidR="00C24B8B">
        <w:rPr>
          <w:lang w:val="en-US"/>
        </w:rPr>
        <w:instrText xml:space="preserve"> REF _Ref15583401 \h </w:instrText>
      </w:r>
      <w:r w:rsidR="00C24B8B">
        <w:rPr>
          <w:lang w:val="en-US"/>
        </w:rPr>
      </w:r>
      <w:r w:rsidR="00C24B8B">
        <w:rPr>
          <w:lang w:val="en-US"/>
        </w:rPr>
        <w:fldChar w:fldCharType="separate"/>
      </w:r>
      <w:r w:rsidR="00C24B8B">
        <w:t xml:space="preserve">Figure </w:t>
      </w:r>
      <w:r w:rsidR="00C24B8B">
        <w:rPr>
          <w:noProof/>
        </w:rPr>
        <w:t>1</w:t>
      </w:r>
      <w:r w:rsidR="00C24B8B">
        <w:rPr>
          <w:lang w:val="en-US"/>
        </w:rPr>
        <w:fldChar w:fldCharType="end"/>
      </w:r>
      <w:r w:rsidR="00C24B8B">
        <w:rPr>
          <w:lang w:val="en-US"/>
        </w:rPr>
        <w:t>.</w:t>
      </w:r>
    </w:p>
    <w:p w14:paraId="1133B3E3" w14:textId="1EAD4B53" w:rsidR="00C24B8B" w:rsidRDefault="00C24B8B" w:rsidP="00C24B8B">
      <w:pPr>
        <w:pStyle w:val="TH"/>
      </w:pPr>
      <w:r w:rsidRPr="00E23CFA">
        <w:object w:dxaOrig="15938" w:dyaOrig="5246" w14:anchorId="60A171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2in" o:ole="">
            <v:imagedata r:id="rId13" o:title=""/>
          </v:shape>
          <o:OLEObject Type="Embed" ProgID="Visio.Drawing.11" ShapeID="_x0000_i1025" DrawAspect="Content" ObjectID="_1631634361" r:id="rId14"/>
        </w:object>
      </w:r>
    </w:p>
    <w:p w14:paraId="2C8484D2" w14:textId="47302E06" w:rsidR="00C24B8B" w:rsidRDefault="00C24B8B" w:rsidP="00C24B8B">
      <w:pPr>
        <w:pStyle w:val="Caption"/>
        <w:jc w:val="center"/>
      </w:pPr>
      <w:bookmarkStart w:id="1" w:name="_Ref15583401"/>
      <w:r>
        <w:t xml:space="preserve">Figure </w:t>
      </w:r>
      <w:r w:rsidR="00D85A99">
        <w:rPr>
          <w:noProof/>
        </w:rPr>
        <w:fldChar w:fldCharType="begin"/>
      </w:r>
      <w:r w:rsidR="00D85A99">
        <w:rPr>
          <w:noProof/>
        </w:rPr>
        <w:instrText xml:space="preserve"> SEQ Figure \* ARABIC </w:instrText>
      </w:r>
      <w:r w:rsidR="00D85A99">
        <w:rPr>
          <w:noProof/>
        </w:rPr>
        <w:fldChar w:fldCharType="separate"/>
      </w:r>
      <w:r>
        <w:rPr>
          <w:noProof/>
        </w:rPr>
        <w:t>1</w:t>
      </w:r>
      <w:r w:rsidR="00D85A99">
        <w:rPr>
          <w:noProof/>
        </w:rPr>
        <w:fldChar w:fldCharType="end"/>
      </w:r>
      <w:bookmarkEnd w:id="1"/>
      <w:r w:rsidRPr="00C24B8B">
        <w:t xml:space="preserve"> Examples for operation in SA and NSA mode. a) UE and IAB-node operate in SA with NGC, b) UE operates in NSA with EPC while IAB-node operates in SA with NGC, c) UE and IAB-node o</w:t>
      </w:r>
      <w:r>
        <w:t>perate in NSA with EPC (Figure 6.1.2-1 from TR 38.874)</w:t>
      </w:r>
    </w:p>
    <w:p w14:paraId="2908D47F" w14:textId="06BC93BC" w:rsidR="00FC1CD4" w:rsidRDefault="00FC1CD4" w:rsidP="00C24B8B">
      <w:r>
        <w:t>In option c), there is no NGC and both Access UEs and IAB-MTs will perform RRC connection establishment with eNB before being configured with IAB-node or IAB Donor as Secondary Node.</w:t>
      </w:r>
      <w:r w:rsidR="0033339F">
        <w:t xml:space="preserve"> In this case, both Access UEs and IAB-MTs can be prevented from accessing IAB nodes and IAB Donors by setting the cell barred status in MIBs broadcast by those nodes following Rel-15 rules. In this scenario, similarly as for IAB SA deployments, the IAB support indication sent by the eNB would be useful, so that IAB-MTs do not connect to eNBs which are not able to provide IAB service. It is not clear whether RAN3 request for their LS covers this case as well, so we propose to agree on it explicitly.</w:t>
      </w:r>
    </w:p>
    <w:p w14:paraId="7D67ABCC" w14:textId="05C7F02A" w:rsidR="0033339F" w:rsidRDefault="0033339F" w:rsidP="00C24B8B">
      <w:pPr>
        <w:rPr>
          <w:b/>
        </w:rPr>
      </w:pPr>
      <w:r>
        <w:rPr>
          <w:b/>
        </w:rPr>
        <w:t>Proposal 3: eNB capable of supporting IAB-MTs should send IAB support indication in SIB1 (e.g. with 1-bit flag).</w:t>
      </w:r>
    </w:p>
    <w:p w14:paraId="2D858A6A" w14:textId="0E4A20A1" w:rsidR="0033339F" w:rsidRDefault="0033339F" w:rsidP="00C24B8B">
      <w:r w:rsidRPr="0033339F">
        <w:t xml:space="preserve">Yet another </w:t>
      </w:r>
      <w:r>
        <w:t xml:space="preserve">issue arises in </w:t>
      </w:r>
      <w:r w:rsidR="005B328F">
        <w:t>option b)</w:t>
      </w:r>
      <w:r>
        <w:t xml:space="preserve"> where </w:t>
      </w:r>
      <w:r w:rsidR="005B328F">
        <w:t>IAB nodes are not available for initial access for Access UEs</w:t>
      </w:r>
      <w:r w:rsidR="000D0300">
        <w:t xml:space="preserve"> operating in SA mode</w:t>
      </w:r>
      <w:r w:rsidR="005B328F">
        <w:t xml:space="preserve">, </w:t>
      </w:r>
      <w:r>
        <w:t xml:space="preserve">but should be available for initial access for IAB-MTs. </w:t>
      </w:r>
      <w:r w:rsidR="000714AD">
        <w:t>There are several options to be used in this case:</w:t>
      </w:r>
    </w:p>
    <w:p w14:paraId="104DF911" w14:textId="6F39956A" w:rsidR="00266138" w:rsidRDefault="00266138" w:rsidP="00266138">
      <w:pPr>
        <w:pStyle w:val="ListParagraph"/>
        <w:numPr>
          <w:ilvl w:val="0"/>
          <w:numId w:val="11"/>
        </w:numPr>
      </w:pPr>
      <w:r>
        <w:t xml:space="preserve">Use </w:t>
      </w:r>
      <w:proofErr w:type="spellStart"/>
      <w:r>
        <w:t>cellReservedForOperatorUse</w:t>
      </w:r>
      <w:proofErr w:type="spellEnd"/>
      <w:r>
        <w:t xml:space="preserve"> </w:t>
      </w:r>
    </w:p>
    <w:p w14:paraId="72780E31" w14:textId="2EAED246" w:rsidR="007D7CF9" w:rsidRDefault="007D7CF9" w:rsidP="007D7CF9">
      <w:pPr>
        <w:pStyle w:val="ListParagraph"/>
        <w:numPr>
          <w:ilvl w:val="0"/>
          <w:numId w:val="11"/>
        </w:numPr>
      </w:pPr>
      <w:r>
        <w:t xml:space="preserve">Use </w:t>
      </w:r>
      <w:proofErr w:type="spellStart"/>
      <w:r>
        <w:t>cellReservedForOtherUse</w:t>
      </w:r>
      <w:proofErr w:type="spellEnd"/>
      <w:r>
        <w:t xml:space="preserve"> </w:t>
      </w:r>
    </w:p>
    <w:p w14:paraId="7D19F56C" w14:textId="07FF1A37" w:rsidR="000714AD" w:rsidRDefault="000714AD" w:rsidP="000714AD">
      <w:pPr>
        <w:pStyle w:val="ListParagraph"/>
        <w:numPr>
          <w:ilvl w:val="0"/>
          <w:numId w:val="11"/>
        </w:numPr>
      </w:pPr>
      <w:r>
        <w:t>Use cell barred status indication in MIB and allow IAB-MTs to ignore it and read SIB1, if available.</w:t>
      </w:r>
    </w:p>
    <w:p w14:paraId="6B87406A" w14:textId="75B012B5" w:rsidR="00266138" w:rsidRDefault="00266138" w:rsidP="00C24B8B">
      <w:r>
        <w:t>In the first option, the cell will be treated as barred by all the UEs except the UEs assigned Access Identities 11 or 15, which are reserved for operator use. IAB-MTs would then need to be assigned these identities.</w:t>
      </w:r>
      <w:r w:rsidR="00426C22">
        <w:t xml:space="preserve"> To avoid situations where IAB-MTs are connecting to the cells reserved for another reason than IAB, they should also be checking IAB </w:t>
      </w:r>
      <w:bookmarkStart w:id="2" w:name="_GoBack"/>
      <w:r w:rsidR="00426C22">
        <w:t xml:space="preserve">support indication in SIB1 at the same time. </w:t>
      </w:r>
      <w:proofErr w:type="spellStart"/>
      <w:r w:rsidR="00E01BAC" w:rsidRPr="00E01BAC">
        <w:t>cellReservedForOperatorUse</w:t>
      </w:r>
      <w:proofErr w:type="spellEnd"/>
      <w:r w:rsidR="00E01BAC">
        <w:t xml:space="preserve"> can be signalled per PLMN.</w:t>
      </w:r>
    </w:p>
    <w:p w14:paraId="0ECAE994" w14:textId="4ABA1F1E" w:rsidR="007D7CF9" w:rsidRDefault="007D7CF9" w:rsidP="00C24B8B">
      <w:r>
        <w:t xml:space="preserve">In the second alternative, no UE </w:t>
      </w:r>
      <w:proofErr w:type="gramStart"/>
      <w:r>
        <w:t>is allowed to</w:t>
      </w:r>
      <w:proofErr w:type="gramEnd"/>
      <w:r>
        <w:t xml:space="preserve"> use the cell. However, a rule could be implemented that IAB-MT </w:t>
      </w:r>
      <w:proofErr w:type="gramStart"/>
      <w:r>
        <w:t>is allowed to</w:t>
      </w:r>
      <w:proofErr w:type="gramEnd"/>
      <w:r>
        <w:t xml:space="preserve"> use the cell reserved for other use in case it provides IAB support indication at the same time. </w:t>
      </w:r>
      <w:proofErr w:type="spellStart"/>
      <w:r w:rsidR="00E01BAC">
        <w:t>cellReservedForOtherUse</w:t>
      </w:r>
      <w:proofErr w:type="spellEnd"/>
      <w:r w:rsidR="00E01BAC">
        <w:t xml:space="preserve"> is signalled per cell for all PLMNs.</w:t>
      </w:r>
    </w:p>
    <w:bookmarkEnd w:id="2"/>
    <w:p w14:paraId="1E626C5B" w14:textId="26D152EA" w:rsidR="00C24B8B" w:rsidRDefault="007D7CF9" w:rsidP="00E01BAC">
      <w:r>
        <w:t xml:space="preserve">Third alternative is most power efficient from Access UEs point of view, since they realize the cell is not available for them </w:t>
      </w:r>
      <w:proofErr w:type="gramStart"/>
      <w:r>
        <w:t>as long as</w:t>
      </w:r>
      <w:proofErr w:type="gramEnd"/>
      <w:r>
        <w:t xml:space="preserve"> they read MIB while the other two indications are carried in SIB1.</w:t>
      </w:r>
      <w:r w:rsidR="00E01BAC">
        <w:t xml:space="preserve"> </w:t>
      </w:r>
      <w:proofErr w:type="spellStart"/>
      <w:r w:rsidR="00E01BAC">
        <w:t>cellBarred</w:t>
      </w:r>
      <w:proofErr w:type="spellEnd"/>
      <w:r w:rsidR="00E01BAC">
        <w:t xml:space="preserve"> in MIB is signalled per cell for all PLMNs.</w:t>
      </w:r>
      <w:r w:rsidR="005B328F">
        <w:t xml:space="preserve"> </w:t>
      </w:r>
      <w:r w:rsidR="00E01BAC">
        <w:t xml:space="preserve">For </w:t>
      </w:r>
      <w:r w:rsidR="005B328F">
        <w:t>such cells to be accessible by IAB MTs, they should be able to ignore cell barred status</w:t>
      </w:r>
      <w:r w:rsidR="00E01BAC">
        <w:t xml:space="preserve"> and the IAB support indication could be used for this purpose as well</w:t>
      </w:r>
      <w:r w:rsidR="005B328F">
        <w:t xml:space="preserve">. </w:t>
      </w:r>
    </w:p>
    <w:p w14:paraId="51A61C1F" w14:textId="0D03CCCC" w:rsidR="00E01BAC" w:rsidRPr="00E01BAC" w:rsidRDefault="00E01BAC" w:rsidP="00E01BAC">
      <w:pPr>
        <w:rPr>
          <w:b/>
        </w:rPr>
      </w:pPr>
      <w:r>
        <w:rPr>
          <w:b/>
        </w:rPr>
        <w:t>Proposal 4: RAN2 is requested to discuss which of the existing indications (</w:t>
      </w:r>
      <w:proofErr w:type="spellStart"/>
      <w:r w:rsidRPr="00E01BAC">
        <w:rPr>
          <w:b/>
        </w:rPr>
        <w:t>cellReservedForOperatorUse</w:t>
      </w:r>
      <w:proofErr w:type="spellEnd"/>
      <w:r>
        <w:rPr>
          <w:b/>
        </w:rPr>
        <w:t xml:space="preserve">, </w:t>
      </w:r>
      <w:proofErr w:type="spellStart"/>
      <w:r>
        <w:rPr>
          <w:b/>
        </w:rPr>
        <w:t>cell</w:t>
      </w:r>
      <w:r w:rsidRPr="00E01BAC">
        <w:rPr>
          <w:b/>
        </w:rPr>
        <w:t>ReservedForOtherUse</w:t>
      </w:r>
      <w:proofErr w:type="spellEnd"/>
      <w:r w:rsidRPr="00E01BAC">
        <w:rPr>
          <w:b/>
        </w:rPr>
        <w:t xml:space="preserve"> </w:t>
      </w:r>
      <w:r>
        <w:rPr>
          <w:b/>
        </w:rPr>
        <w:t xml:space="preserve">or </w:t>
      </w:r>
      <w:proofErr w:type="spellStart"/>
      <w:r>
        <w:rPr>
          <w:b/>
        </w:rPr>
        <w:t>cellBarred</w:t>
      </w:r>
      <w:proofErr w:type="spellEnd"/>
      <w:r>
        <w:rPr>
          <w:b/>
        </w:rPr>
        <w:t xml:space="preserve">) should be used to prevent </w:t>
      </w:r>
      <w:r w:rsidR="001F1BD6" w:rsidRPr="000D0300">
        <w:rPr>
          <w:b/>
        </w:rPr>
        <w:t>only</w:t>
      </w:r>
      <w:r w:rsidR="001F1BD6">
        <w:rPr>
          <w:b/>
        </w:rPr>
        <w:t xml:space="preserve"> </w:t>
      </w:r>
      <w:r>
        <w:rPr>
          <w:b/>
        </w:rPr>
        <w:t xml:space="preserve">Access UEs </w:t>
      </w:r>
      <w:r w:rsidR="00452640">
        <w:rPr>
          <w:b/>
        </w:rPr>
        <w:t xml:space="preserve">operating in SA mode </w:t>
      </w:r>
      <w:r>
        <w:rPr>
          <w:b/>
        </w:rPr>
        <w:t xml:space="preserve">from attempting to access IAB Donor or IAB node operating in SA mode. </w:t>
      </w:r>
    </w:p>
    <w:p w14:paraId="4F547731" w14:textId="27CEC3D7" w:rsidR="00A209D6" w:rsidRDefault="00E01BAC" w:rsidP="00A209D6">
      <w:pPr>
        <w:rPr>
          <w:b/>
        </w:rPr>
      </w:pPr>
      <w:r>
        <w:rPr>
          <w:b/>
        </w:rPr>
        <w:t xml:space="preserve">Proposal 5: IAB-MT may ignore the cell reserved / barred indication in case </w:t>
      </w:r>
      <w:r w:rsidR="001F1BD6">
        <w:rPr>
          <w:b/>
        </w:rPr>
        <w:t xml:space="preserve">the cell </w:t>
      </w:r>
      <w:r>
        <w:rPr>
          <w:b/>
        </w:rPr>
        <w:t>additionally provides IAB support indication in SIB1.</w:t>
      </w:r>
    </w:p>
    <w:p w14:paraId="59C34602" w14:textId="48B628E5" w:rsidR="00C71F4A" w:rsidRPr="00C71F4A" w:rsidRDefault="00C71F4A" w:rsidP="00A209D6">
      <w:r>
        <w:t>It should be noted that additional indication is only required in case common PLMN ID is used for Access UEs and IAB-MTs. In case different PLMNs are used, then Access UEs will not try to join the cell in case TAC is not signalled in SIB1 for their PLMN (</w:t>
      </w:r>
      <w:r w:rsidR="00C90B47">
        <w:t>TAC is absent in case the PLMN supports the cell in EN-DC mode only).</w:t>
      </w:r>
    </w:p>
    <w:p w14:paraId="5FF2457F" w14:textId="69DAAA51" w:rsidR="00A209D6" w:rsidRPr="006E13D1" w:rsidRDefault="005713E3" w:rsidP="00A209D6">
      <w:pPr>
        <w:pStyle w:val="Heading1"/>
      </w:pPr>
      <w:r>
        <w:lastRenderedPageBreak/>
        <w:t>3</w:t>
      </w:r>
      <w:r w:rsidR="00A209D6" w:rsidRPr="006E13D1">
        <w:tab/>
      </w:r>
      <w:r w:rsidR="008C3057">
        <w:t>Conclusion</w:t>
      </w:r>
    </w:p>
    <w:p w14:paraId="244D77D0" w14:textId="13D9362D" w:rsidR="00426C22" w:rsidRDefault="00426C22" w:rsidP="00426C22">
      <w:r>
        <w:t>This contribution discussed aspects related to IAB-MT initial access and IAB support indication in different architectural options of IAB. The following is proposed based on the discussion above:</w:t>
      </w:r>
    </w:p>
    <w:p w14:paraId="138FF01B" w14:textId="7ECA9B6B" w:rsidR="00C71F4A" w:rsidRPr="009D4064" w:rsidRDefault="00C71F4A" w:rsidP="00C71F4A">
      <w:pPr>
        <w:rPr>
          <w:b/>
        </w:rPr>
      </w:pPr>
      <w:r>
        <w:rPr>
          <w:b/>
        </w:rPr>
        <w:t>Proposal 1: Introduce explicit indication (e.g. one-bit flag) of IAB support in SIB1.</w:t>
      </w:r>
    </w:p>
    <w:p w14:paraId="13FAF19C" w14:textId="77777777" w:rsidR="00C71F4A" w:rsidRPr="00814E47" w:rsidRDefault="00C71F4A" w:rsidP="00C71F4A">
      <w:pPr>
        <w:rPr>
          <w:b/>
        </w:rPr>
      </w:pPr>
      <w:r>
        <w:rPr>
          <w:b/>
        </w:rPr>
        <w:t xml:space="preserve">Proposal 2: Introduce IAB-indication in </w:t>
      </w:r>
      <w:proofErr w:type="spellStart"/>
      <w:r>
        <w:rPr>
          <w:b/>
        </w:rPr>
        <w:t>RRCSetupComplete</w:t>
      </w:r>
      <w:proofErr w:type="spellEnd"/>
      <w:r>
        <w:rPr>
          <w:b/>
        </w:rPr>
        <w:t xml:space="preserve"> message in 38.331 and </w:t>
      </w:r>
      <w:proofErr w:type="spellStart"/>
      <w:r>
        <w:rPr>
          <w:b/>
        </w:rPr>
        <w:t>R</w:t>
      </w:r>
      <w:r w:rsidRPr="00CB42AE">
        <w:rPr>
          <w:b/>
        </w:rPr>
        <w:t>RCConnectionSetupComplet</w:t>
      </w:r>
      <w:r>
        <w:rPr>
          <w:b/>
        </w:rPr>
        <w:t>e</w:t>
      </w:r>
      <w:proofErr w:type="spellEnd"/>
      <w:r>
        <w:rPr>
          <w:b/>
        </w:rPr>
        <w:t xml:space="preserve"> message in TS 36.331.</w:t>
      </w:r>
    </w:p>
    <w:p w14:paraId="1D13B12F" w14:textId="77777777" w:rsidR="00C71F4A" w:rsidRDefault="00C71F4A" w:rsidP="00C71F4A">
      <w:pPr>
        <w:rPr>
          <w:b/>
        </w:rPr>
      </w:pPr>
      <w:r>
        <w:rPr>
          <w:b/>
        </w:rPr>
        <w:t>Proposal 3: eNB capable of supporting IAB-MTs should send IAB support indication in SIB1 (e.g. with 1-bit flag).</w:t>
      </w:r>
    </w:p>
    <w:p w14:paraId="4FF49D3E" w14:textId="77777777" w:rsidR="000D0300" w:rsidRPr="00E01BAC" w:rsidRDefault="000D0300" w:rsidP="000D0300">
      <w:pPr>
        <w:rPr>
          <w:b/>
        </w:rPr>
      </w:pPr>
      <w:r>
        <w:rPr>
          <w:b/>
        </w:rPr>
        <w:t>Proposal 4: RAN2 is requested to discuss which of the existing indications (</w:t>
      </w:r>
      <w:proofErr w:type="spellStart"/>
      <w:r w:rsidRPr="00E01BAC">
        <w:rPr>
          <w:b/>
        </w:rPr>
        <w:t>cellReservedForOperatorUse</w:t>
      </w:r>
      <w:proofErr w:type="spellEnd"/>
      <w:r>
        <w:rPr>
          <w:b/>
        </w:rPr>
        <w:t xml:space="preserve">, </w:t>
      </w:r>
      <w:proofErr w:type="spellStart"/>
      <w:r>
        <w:rPr>
          <w:b/>
        </w:rPr>
        <w:t>cell</w:t>
      </w:r>
      <w:r w:rsidRPr="00E01BAC">
        <w:rPr>
          <w:b/>
        </w:rPr>
        <w:t>ReservedForOtherUse</w:t>
      </w:r>
      <w:proofErr w:type="spellEnd"/>
      <w:r w:rsidRPr="00E01BAC">
        <w:rPr>
          <w:b/>
        </w:rPr>
        <w:t xml:space="preserve"> </w:t>
      </w:r>
      <w:r>
        <w:rPr>
          <w:b/>
        </w:rPr>
        <w:t xml:space="preserve">or </w:t>
      </w:r>
      <w:proofErr w:type="spellStart"/>
      <w:r>
        <w:rPr>
          <w:b/>
        </w:rPr>
        <w:t>cellBarred</w:t>
      </w:r>
      <w:proofErr w:type="spellEnd"/>
      <w:r>
        <w:rPr>
          <w:b/>
        </w:rPr>
        <w:t xml:space="preserve">) should be used to prevent </w:t>
      </w:r>
      <w:r w:rsidRPr="000D0300">
        <w:rPr>
          <w:b/>
        </w:rPr>
        <w:t>only</w:t>
      </w:r>
      <w:r>
        <w:rPr>
          <w:b/>
        </w:rPr>
        <w:t xml:space="preserve"> Access UEs operating in SA mode from attempting to access IAB Donor or IAB node operating in SA mode. </w:t>
      </w:r>
    </w:p>
    <w:p w14:paraId="74AE7495" w14:textId="77777777" w:rsidR="001F1BD6" w:rsidRDefault="001F1BD6" w:rsidP="001F1BD6">
      <w:pPr>
        <w:rPr>
          <w:b/>
        </w:rPr>
      </w:pPr>
      <w:r>
        <w:rPr>
          <w:b/>
        </w:rPr>
        <w:t>Proposal 5: IAB-MT may ignore the cell reserved / barred indication in case the cell additionally provides IAB support indication in SIB1.</w:t>
      </w:r>
    </w:p>
    <w:p w14:paraId="60449C3F" w14:textId="77777777" w:rsidR="00A209D6" w:rsidRPr="006E13D1" w:rsidRDefault="00A209D6" w:rsidP="00A209D6"/>
    <w:p w14:paraId="35F222F4" w14:textId="2A9776E6" w:rsidR="00080512" w:rsidRDefault="00080F9C" w:rsidP="00080F9C">
      <w:pPr>
        <w:pStyle w:val="Heading1"/>
      </w:pPr>
      <w:r>
        <w:t>References</w:t>
      </w:r>
    </w:p>
    <w:p w14:paraId="69C6EF33" w14:textId="098E98C6" w:rsidR="00814E47" w:rsidRDefault="00814E47" w:rsidP="00080F9C">
      <w:r>
        <w:t xml:space="preserve">[1] </w:t>
      </w:r>
      <w:r w:rsidR="00CB42AE" w:rsidRPr="00CB42AE">
        <w:t>R3-194787</w:t>
      </w:r>
      <w:r w:rsidR="00CB42AE">
        <w:t xml:space="preserve">, </w:t>
      </w:r>
      <w:r w:rsidR="00CB42AE" w:rsidRPr="00CB42AE">
        <w:rPr>
          <w:i/>
        </w:rPr>
        <w:t>LS on the IAB-indication to core network</w:t>
      </w:r>
      <w:r w:rsidR="00CB42AE">
        <w:t>, Source: RAN3</w:t>
      </w:r>
    </w:p>
    <w:p w14:paraId="62CF35B1" w14:textId="0B4CE800" w:rsidR="005A01CF" w:rsidRPr="00902116" w:rsidRDefault="005A01CF" w:rsidP="00080F9C">
      <w:pPr>
        <w:rPr>
          <w:i/>
        </w:rPr>
      </w:pPr>
      <w:r>
        <w:t>[2]</w:t>
      </w:r>
      <w:r>
        <w:tab/>
        <w:t xml:space="preserve">3GPP TR 38.874, </w:t>
      </w:r>
      <w:r w:rsidR="00902116" w:rsidRPr="00902116">
        <w:rPr>
          <w:i/>
        </w:rPr>
        <w:t>Study on Integrated Access and Backhaul</w:t>
      </w:r>
    </w:p>
    <w:sectPr w:rsidR="005A01CF" w:rsidRPr="0090211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1F911" w14:textId="77777777" w:rsidR="001C23F4" w:rsidRDefault="001C23F4">
      <w:r>
        <w:separator/>
      </w:r>
    </w:p>
  </w:endnote>
  <w:endnote w:type="continuationSeparator" w:id="0">
    <w:p w14:paraId="7ECFCD69" w14:textId="77777777" w:rsidR="001C23F4" w:rsidRDefault="001C2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panose1 w:val="00000000000000000000"/>
    <w:charset w:val="00"/>
    <w:family w:val="roman"/>
    <w:notTrueType/>
    <w:pitch w:val="default"/>
  </w:font>
  <w:font w:name="Arial">
    <w:panose1 w:val="020B0604020202020204"/>
    <w:charset w:val="EE"/>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3533F" w14:textId="77777777" w:rsidR="001C23F4" w:rsidRDefault="001C23F4">
      <w:r>
        <w:separator/>
      </w:r>
    </w:p>
  </w:footnote>
  <w:footnote w:type="continuationSeparator" w:id="0">
    <w:p w14:paraId="36E6184F" w14:textId="77777777" w:rsidR="001C23F4" w:rsidRDefault="001C2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EF2C4A"/>
    <w:multiLevelType w:val="hybridMultilevel"/>
    <w:tmpl w:val="40C06A28"/>
    <w:lvl w:ilvl="0" w:tplc="2A763838">
      <w:start w:val="8"/>
      <w:numFmt w:val="bullet"/>
      <w:lvlText w:val=""/>
      <w:lvlJc w:val="left"/>
      <w:pPr>
        <w:ind w:left="770" w:hanging="360"/>
      </w:pPr>
      <w:rPr>
        <w:rFonts w:ascii="Symbol" w:eastAsia="Times New Roman" w:hAnsi="Symbol"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272F7D9D"/>
    <w:multiLevelType w:val="hybridMultilevel"/>
    <w:tmpl w:val="D56419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40D703F"/>
    <w:multiLevelType w:val="hybridMultilevel"/>
    <w:tmpl w:val="D9E6D84C"/>
    <w:lvl w:ilvl="0" w:tplc="8E3E5F96">
      <w:start w:val="1"/>
      <w:numFmt w:val="bullet"/>
      <w:lvlText w:val="-"/>
      <w:lvlJc w:val="left"/>
      <w:pPr>
        <w:tabs>
          <w:tab w:val="num" w:pos="720"/>
        </w:tabs>
        <w:ind w:left="720" w:hanging="360"/>
      </w:pPr>
      <w:rPr>
        <w:rFonts w:ascii="Lucida Grande" w:hAnsi="Lucida Grande" w:hint="default"/>
      </w:rPr>
    </w:lvl>
    <w:lvl w:ilvl="1" w:tplc="621E9B68">
      <w:start w:val="1"/>
      <w:numFmt w:val="bullet"/>
      <w:lvlText w:val="-"/>
      <w:lvlJc w:val="left"/>
      <w:pPr>
        <w:tabs>
          <w:tab w:val="num" w:pos="1440"/>
        </w:tabs>
        <w:ind w:left="1440" w:hanging="360"/>
      </w:pPr>
      <w:rPr>
        <w:rFonts w:ascii="Lucida Grande" w:hAnsi="Lucida Grande" w:hint="default"/>
      </w:rPr>
    </w:lvl>
    <w:lvl w:ilvl="2" w:tplc="51E29F3A" w:tentative="1">
      <w:start w:val="1"/>
      <w:numFmt w:val="bullet"/>
      <w:lvlText w:val="-"/>
      <w:lvlJc w:val="left"/>
      <w:pPr>
        <w:tabs>
          <w:tab w:val="num" w:pos="2160"/>
        </w:tabs>
        <w:ind w:left="2160" w:hanging="360"/>
      </w:pPr>
      <w:rPr>
        <w:rFonts w:ascii="Lucida Grande" w:hAnsi="Lucida Grande" w:hint="default"/>
      </w:rPr>
    </w:lvl>
    <w:lvl w:ilvl="3" w:tplc="E7F40F90" w:tentative="1">
      <w:start w:val="1"/>
      <w:numFmt w:val="bullet"/>
      <w:lvlText w:val="-"/>
      <w:lvlJc w:val="left"/>
      <w:pPr>
        <w:tabs>
          <w:tab w:val="num" w:pos="2880"/>
        </w:tabs>
        <w:ind w:left="2880" w:hanging="360"/>
      </w:pPr>
      <w:rPr>
        <w:rFonts w:ascii="Lucida Grande" w:hAnsi="Lucida Grande" w:hint="default"/>
      </w:rPr>
    </w:lvl>
    <w:lvl w:ilvl="4" w:tplc="86C6EEC6" w:tentative="1">
      <w:start w:val="1"/>
      <w:numFmt w:val="bullet"/>
      <w:lvlText w:val="-"/>
      <w:lvlJc w:val="left"/>
      <w:pPr>
        <w:tabs>
          <w:tab w:val="num" w:pos="3600"/>
        </w:tabs>
        <w:ind w:left="3600" w:hanging="360"/>
      </w:pPr>
      <w:rPr>
        <w:rFonts w:ascii="Lucida Grande" w:hAnsi="Lucida Grande" w:hint="default"/>
      </w:rPr>
    </w:lvl>
    <w:lvl w:ilvl="5" w:tplc="D57EED80" w:tentative="1">
      <w:start w:val="1"/>
      <w:numFmt w:val="bullet"/>
      <w:lvlText w:val="-"/>
      <w:lvlJc w:val="left"/>
      <w:pPr>
        <w:tabs>
          <w:tab w:val="num" w:pos="4320"/>
        </w:tabs>
        <w:ind w:left="4320" w:hanging="360"/>
      </w:pPr>
      <w:rPr>
        <w:rFonts w:ascii="Lucida Grande" w:hAnsi="Lucida Grande" w:hint="default"/>
      </w:rPr>
    </w:lvl>
    <w:lvl w:ilvl="6" w:tplc="DC0421A6" w:tentative="1">
      <w:start w:val="1"/>
      <w:numFmt w:val="bullet"/>
      <w:lvlText w:val="-"/>
      <w:lvlJc w:val="left"/>
      <w:pPr>
        <w:tabs>
          <w:tab w:val="num" w:pos="5040"/>
        </w:tabs>
        <w:ind w:left="5040" w:hanging="360"/>
      </w:pPr>
      <w:rPr>
        <w:rFonts w:ascii="Lucida Grande" w:hAnsi="Lucida Grande" w:hint="default"/>
      </w:rPr>
    </w:lvl>
    <w:lvl w:ilvl="7" w:tplc="4FE20FC4" w:tentative="1">
      <w:start w:val="1"/>
      <w:numFmt w:val="bullet"/>
      <w:lvlText w:val="-"/>
      <w:lvlJc w:val="left"/>
      <w:pPr>
        <w:tabs>
          <w:tab w:val="num" w:pos="5760"/>
        </w:tabs>
        <w:ind w:left="5760" w:hanging="360"/>
      </w:pPr>
      <w:rPr>
        <w:rFonts w:ascii="Lucida Grande" w:hAnsi="Lucida Grande" w:hint="default"/>
      </w:rPr>
    </w:lvl>
    <w:lvl w:ilvl="8" w:tplc="328EE0AC" w:tentative="1">
      <w:start w:val="1"/>
      <w:numFmt w:val="bullet"/>
      <w:lvlText w:val="-"/>
      <w:lvlJc w:val="left"/>
      <w:pPr>
        <w:tabs>
          <w:tab w:val="num" w:pos="6480"/>
        </w:tabs>
        <w:ind w:left="6480" w:hanging="360"/>
      </w:pPr>
      <w:rPr>
        <w:rFonts w:ascii="Lucida Grande" w:hAnsi="Lucida Grande"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6CFC4F36"/>
    <w:multiLevelType w:val="hybridMultilevel"/>
    <w:tmpl w:val="E8F459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7"/>
  </w:num>
  <w:num w:numId="7">
    <w:abstractNumId w:val="8"/>
  </w:num>
  <w:num w:numId="8">
    <w:abstractNumId w:val="2"/>
  </w:num>
  <w:num w:numId="9">
    <w:abstractNumId w:val="6"/>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14AD"/>
    <w:rsid w:val="00073C9C"/>
    <w:rsid w:val="00080512"/>
    <w:rsid w:val="00080F9C"/>
    <w:rsid w:val="00090468"/>
    <w:rsid w:val="00094568"/>
    <w:rsid w:val="000B7BCF"/>
    <w:rsid w:val="000C522B"/>
    <w:rsid w:val="000D0300"/>
    <w:rsid w:val="000D58AB"/>
    <w:rsid w:val="00112F1A"/>
    <w:rsid w:val="00115E84"/>
    <w:rsid w:val="00131E4E"/>
    <w:rsid w:val="00134956"/>
    <w:rsid w:val="00145075"/>
    <w:rsid w:val="00154B11"/>
    <w:rsid w:val="00164487"/>
    <w:rsid w:val="001741A0"/>
    <w:rsid w:val="00175FA0"/>
    <w:rsid w:val="00177C32"/>
    <w:rsid w:val="00194CD0"/>
    <w:rsid w:val="001B49C9"/>
    <w:rsid w:val="001C23F4"/>
    <w:rsid w:val="001C4F79"/>
    <w:rsid w:val="001E3199"/>
    <w:rsid w:val="001E3C99"/>
    <w:rsid w:val="001E3F8A"/>
    <w:rsid w:val="001F15D2"/>
    <w:rsid w:val="001F168B"/>
    <w:rsid w:val="001F1BD6"/>
    <w:rsid w:val="001F26FF"/>
    <w:rsid w:val="001F7831"/>
    <w:rsid w:val="00204045"/>
    <w:rsid w:val="0020712B"/>
    <w:rsid w:val="0022606D"/>
    <w:rsid w:val="00227A86"/>
    <w:rsid w:val="00231728"/>
    <w:rsid w:val="00235416"/>
    <w:rsid w:val="00250404"/>
    <w:rsid w:val="002610D8"/>
    <w:rsid w:val="00266138"/>
    <w:rsid w:val="002747EC"/>
    <w:rsid w:val="002855BF"/>
    <w:rsid w:val="002A120A"/>
    <w:rsid w:val="002A780A"/>
    <w:rsid w:val="002F0D22"/>
    <w:rsid w:val="002F3C5B"/>
    <w:rsid w:val="003172DC"/>
    <w:rsid w:val="00325AE3"/>
    <w:rsid w:val="00326069"/>
    <w:rsid w:val="0033339F"/>
    <w:rsid w:val="0035462D"/>
    <w:rsid w:val="00364B41"/>
    <w:rsid w:val="00370D16"/>
    <w:rsid w:val="00383096"/>
    <w:rsid w:val="003A41EF"/>
    <w:rsid w:val="003B3AC4"/>
    <w:rsid w:val="003B40AD"/>
    <w:rsid w:val="003C4E37"/>
    <w:rsid w:val="003E16BE"/>
    <w:rsid w:val="003E2B89"/>
    <w:rsid w:val="003F4E28"/>
    <w:rsid w:val="004006E8"/>
    <w:rsid w:val="00401855"/>
    <w:rsid w:val="00426C22"/>
    <w:rsid w:val="00452640"/>
    <w:rsid w:val="00454E0F"/>
    <w:rsid w:val="00465587"/>
    <w:rsid w:val="00477455"/>
    <w:rsid w:val="004A1F7B"/>
    <w:rsid w:val="004C44D2"/>
    <w:rsid w:val="004D3578"/>
    <w:rsid w:val="004D380D"/>
    <w:rsid w:val="004E213A"/>
    <w:rsid w:val="005016CE"/>
    <w:rsid w:val="00503171"/>
    <w:rsid w:val="00506C28"/>
    <w:rsid w:val="00534DA0"/>
    <w:rsid w:val="00543E6C"/>
    <w:rsid w:val="00565087"/>
    <w:rsid w:val="0056573F"/>
    <w:rsid w:val="005713E3"/>
    <w:rsid w:val="00586FBD"/>
    <w:rsid w:val="005A01CF"/>
    <w:rsid w:val="005B328F"/>
    <w:rsid w:val="00611566"/>
    <w:rsid w:val="00623BF6"/>
    <w:rsid w:val="00646D99"/>
    <w:rsid w:val="00656910"/>
    <w:rsid w:val="006C66D8"/>
    <w:rsid w:val="006D1E24"/>
    <w:rsid w:val="006E1417"/>
    <w:rsid w:val="006E6150"/>
    <w:rsid w:val="006F31A6"/>
    <w:rsid w:val="006F361D"/>
    <w:rsid w:val="006F5D84"/>
    <w:rsid w:val="006F6A2C"/>
    <w:rsid w:val="007069DC"/>
    <w:rsid w:val="00710201"/>
    <w:rsid w:val="0072073A"/>
    <w:rsid w:val="007342B5"/>
    <w:rsid w:val="00734A5B"/>
    <w:rsid w:val="00744E76"/>
    <w:rsid w:val="00757D40"/>
    <w:rsid w:val="00767EA5"/>
    <w:rsid w:val="00781F0F"/>
    <w:rsid w:val="0078727C"/>
    <w:rsid w:val="0079049D"/>
    <w:rsid w:val="00793DC5"/>
    <w:rsid w:val="007B18D8"/>
    <w:rsid w:val="007C095F"/>
    <w:rsid w:val="007C2DD0"/>
    <w:rsid w:val="007D7CF9"/>
    <w:rsid w:val="007E04BE"/>
    <w:rsid w:val="007F2E08"/>
    <w:rsid w:val="008028A4"/>
    <w:rsid w:val="00813245"/>
    <w:rsid w:val="00814E47"/>
    <w:rsid w:val="008261C7"/>
    <w:rsid w:val="008521DB"/>
    <w:rsid w:val="0086354A"/>
    <w:rsid w:val="008768CA"/>
    <w:rsid w:val="00877EF9"/>
    <w:rsid w:val="00880559"/>
    <w:rsid w:val="008B5306"/>
    <w:rsid w:val="008C3057"/>
    <w:rsid w:val="008D2E4D"/>
    <w:rsid w:val="008E03C9"/>
    <w:rsid w:val="008F396F"/>
    <w:rsid w:val="00902116"/>
    <w:rsid w:val="0090271F"/>
    <w:rsid w:val="00902DB9"/>
    <w:rsid w:val="0090466A"/>
    <w:rsid w:val="00923655"/>
    <w:rsid w:val="0092688B"/>
    <w:rsid w:val="00936071"/>
    <w:rsid w:val="00940212"/>
    <w:rsid w:val="00942EC2"/>
    <w:rsid w:val="00961B32"/>
    <w:rsid w:val="00962509"/>
    <w:rsid w:val="00970DB3"/>
    <w:rsid w:val="00974BB0"/>
    <w:rsid w:val="00975BCD"/>
    <w:rsid w:val="00994B92"/>
    <w:rsid w:val="009A0AF3"/>
    <w:rsid w:val="009A26F1"/>
    <w:rsid w:val="009B07CD"/>
    <w:rsid w:val="009C19E9"/>
    <w:rsid w:val="009D4064"/>
    <w:rsid w:val="009D74A6"/>
    <w:rsid w:val="00A07A3B"/>
    <w:rsid w:val="00A10F02"/>
    <w:rsid w:val="00A204CA"/>
    <w:rsid w:val="00A209D6"/>
    <w:rsid w:val="00A27B72"/>
    <w:rsid w:val="00A53724"/>
    <w:rsid w:val="00A54B2B"/>
    <w:rsid w:val="00A82346"/>
    <w:rsid w:val="00A9671C"/>
    <w:rsid w:val="00A97484"/>
    <w:rsid w:val="00AA1553"/>
    <w:rsid w:val="00AB37CA"/>
    <w:rsid w:val="00B05380"/>
    <w:rsid w:val="00B05962"/>
    <w:rsid w:val="00B10B9D"/>
    <w:rsid w:val="00B15449"/>
    <w:rsid w:val="00B16C2F"/>
    <w:rsid w:val="00B27303"/>
    <w:rsid w:val="00B31D5B"/>
    <w:rsid w:val="00B425C0"/>
    <w:rsid w:val="00B47FD1"/>
    <w:rsid w:val="00B516BB"/>
    <w:rsid w:val="00B84DB2"/>
    <w:rsid w:val="00BC3555"/>
    <w:rsid w:val="00C12B51"/>
    <w:rsid w:val="00C24650"/>
    <w:rsid w:val="00C24B8B"/>
    <w:rsid w:val="00C25465"/>
    <w:rsid w:val="00C33079"/>
    <w:rsid w:val="00C66ADB"/>
    <w:rsid w:val="00C71F4A"/>
    <w:rsid w:val="00C83A13"/>
    <w:rsid w:val="00C9068C"/>
    <w:rsid w:val="00C90B47"/>
    <w:rsid w:val="00C92967"/>
    <w:rsid w:val="00CA3D0C"/>
    <w:rsid w:val="00CA654B"/>
    <w:rsid w:val="00CB42AE"/>
    <w:rsid w:val="00CB46FD"/>
    <w:rsid w:val="00CB72B8"/>
    <w:rsid w:val="00CC2C70"/>
    <w:rsid w:val="00CD4C7B"/>
    <w:rsid w:val="00D33BE3"/>
    <w:rsid w:val="00D3792D"/>
    <w:rsid w:val="00D55E47"/>
    <w:rsid w:val="00D62E19"/>
    <w:rsid w:val="00D6790A"/>
    <w:rsid w:val="00D67CD1"/>
    <w:rsid w:val="00D737AE"/>
    <w:rsid w:val="00D738D6"/>
    <w:rsid w:val="00D80795"/>
    <w:rsid w:val="00D854BE"/>
    <w:rsid w:val="00D85A99"/>
    <w:rsid w:val="00D87E00"/>
    <w:rsid w:val="00D9134D"/>
    <w:rsid w:val="00D96D11"/>
    <w:rsid w:val="00DA7A03"/>
    <w:rsid w:val="00DB0DB8"/>
    <w:rsid w:val="00DB1818"/>
    <w:rsid w:val="00DC309B"/>
    <w:rsid w:val="00DC4DA2"/>
    <w:rsid w:val="00DC5261"/>
    <w:rsid w:val="00DE25D2"/>
    <w:rsid w:val="00E01BAC"/>
    <w:rsid w:val="00E4342D"/>
    <w:rsid w:val="00E46C08"/>
    <w:rsid w:val="00E471CF"/>
    <w:rsid w:val="00E62835"/>
    <w:rsid w:val="00E77645"/>
    <w:rsid w:val="00E83697"/>
    <w:rsid w:val="00EA66C9"/>
    <w:rsid w:val="00EC4A25"/>
    <w:rsid w:val="00EC4ECF"/>
    <w:rsid w:val="00EC6525"/>
    <w:rsid w:val="00ED1A95"/>
    <w:rsid w:val="00F025A2"/>
    <w:rsid w:val="00F036E9"/>
    <w:rsid w:val="00F044B9"/>
    <w:rsid w:val="00F07388"/>
    <w:rsid w:val="00F2026E"/>
    <w:rsid w:val="00F2210A"/>
    <w:rsid w:val="00F37743"/>
    <w:rsid w:val="00F54A3D"/>
    <w:rsid w:val="00F54CB0"/>
    <w:rsid w:val="00F579CD"/>
    <w:rsid w:val="00F653B8"/>
    <w:rsid w:val="00F71B89"/>
    <w:rsid w:val="00F7353C"/>
    <w:rsid w:val="00F76F8F"/>
    <w:rsid w:val="00F941DF"/>
    <w:rsid w:val="00FA1266"/>
    <w:rsid w:val="00FA3115"/>
    <w:rsid w:val="00FB36FA"/>
    <w:rsid w:val="00FC1192"/>
    <w:rsid w:val="00FC1CD4"/>
    <w:rsid w:val="00FE0CA1"/>
    <w:rsid w:val="00FE251B"/>
    <w:rsid w:val="00FF717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080F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80F9C"/>
    <w:rPr>
      <w:lang w:eastAsia="en-US"/>
    </w:rPr>
  </w:style>
  <w:style w:type="character" w:customStyle="1" w:styleId="EditorsNoteChar">
    <w:name w:val="Editor's Note Char"/>
    <w:link w:val="EditorsNote"/>
    <w:rsid w:val="00080F9C"/>
    <w:rPr>
      <w:color w:val="FF0000"/>
      <w:lang w:eastAsia="en-US"/>
    </w:rPr>
  </w:style>
  <w:style w:type="paragraph" w:styleId="ListParagraph">
    <w:name w:val="List Paragraph"/>
    <w:basedOn w:val="Normal"/>
    <w:uiPriority w:val="34"/>
    <w:qFormat/>
    <w:rsid w:val="00154B11"/>
    <w:pPr>
      <w:ind w:left="720"/>
      <w:contextualSpacing/>
    </w:pPr>
  </w:style>
  <w:style w:type="character" w:customStyle="1" w:styleId="TFChar">
    <w:name w:val="TF Char"/>
    <w:link w:val="TF"/>
    <w:rsid w:val="00C24B8B"/>
    <w:rPr>
      <w:rFonts w:ascii="Arial" w:hAnsi="Arial"/>
      <w:b/>
      <w:lang w:eastAsia="en-US"/>
    </w:rPr>
  </w:style>
  <w:style w:type="paragraph" w:styleId="Caption">
    <w:name w:val="caption"/>
    <w:basedOn w:val="Normal"/>
    <w:next w:val="Normal"/>
    <w:unhideWhenUsed/>
    <w:qFormat/>
    <w:rsid w:val="00C24B8B"/>
    <w:pPr>
      <w:spacing w:after="200"/>
    </w:pPr>
    <w:rPr>
      <w:i/>
      <w:iCs/>
      <w:color w:val="44546A" w:themeColor="text2"/>
      <w:sz w:val="18"/>
      <w:szCs w:val="18"/>
    </w:rPr>
  </w:style>
  <w:style w:type="character" w:styleId="CommentReference">
    <w:name w:val="annotation reference"/>
    <w:basedOn w:val="DefaultParagraphFont"/>
    <w:rsid w:val="002F3C5B"/>
    <w:rPr>
      <w:sz w:val="16"/>
      <w:szCs w:val="16"/>
    </w:rPr>
  </w:style>
  <w:style w:type="paragraph" w:styleId="CommentText">
    <w:name w:val="annotation text"/>
    <w:basedOn w:val="Normal"/>
    <w:link w:val="CommentTextChar"/>
    <w:rsid w:val="002F3C5B"/>
  </w:style>
  <w:style w:type="character" w:customStyle="1" w:styleId="CommentTextChar">
    <w:name w:val="Comment Text Char"/>
    <w:basedOn w:val="DefaultParagraphFont"/>
    <w:link w:val="CommentText"/>
    <w:rsid w:val="002F3C5B"/>
    <w:rPr>
      <w:lang w:eastAsia="en-US"/>
    </w:rPr>
  </w:style>
  <w:style w:type="paragraph" w:styleId="CommentSubject">
    <w:name w:val="annotation subject"/>
    <w:basedOn w:val="CommentText"/>
    <w:next w:val="CommentText"/>
    <w:link w:val="CommentSubjectChar"/>
    <w:rsid w:val="002F3C5B"/>
    <w:rPr>
      <w:b/>
      <w:bCs/>
    </w:rPr>
  </w:style>
  <w:style w:type="character" w:customStyle="1" w:styleId="CommentSubjectChar">
    <w:name w:val="Comment Subject Char"/>
    <w:basedOn w:val="CommentTextChar"/>
    <w:link w:val="CommentSubject"/>
    <w:rsid w:val="002F3C5B"/>
    <w:rPr>
      <w:b/>
      <w:bCs/>
      <w:lang w:eastAsia="en-US"/>
    </w:rPr>
  </w:style>
  <w:style w:type="paragraph" w:styleId="Revision">
    <w:name w:val="Revision"/>
    <w:hidden/>
    <w:uiPriority w:val="99"/>
    <w:semiHidden/>
    <w:rsid w:val="002F3C5B"/>
    <w:rPr>
      <w:lang w:eastAsia="en-US"/>
    </w:rPr>
  </w:style>
  <w:style w:type="paragraph" w:customStyle="1" w:styleId="maintext">
    <w:name w:val="main text"/>
    <w:basedOn w:val="Normal"/>
    <w:link w:val="maintextChar"/>
    <w:qFormat/>
    <w:rsid w:val="00370D16"/>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70D16"/>
    <w:rPr>
      <w:rFonts w:eastAsia="Malgun Gothic" w:cs="Batang"/>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18526634">
      <w:bodyDiv w:val="1"/>
      <w:marLeft w:val="0"/>
      <w:marRight w:val="0"/>
      <w:marTop w:val="0"/>
      <w:marBottom w:val="0"/>
      <w:divBdr>
        <w:top w:val="none" w:sz="0" w:space="0" w:color="auto"/>
        <w:left w:val="none" w:sz="0" w:space="0" w:color="auto"/>
        <w:bottom w:val="none" w:sz="0" w:space="0" w:color="auto"/>
        <w:right w:val="none" w:sz="0" w:space="0" w:color="auto"/>
      </w:divBdr>
      <w:divsChild>
        <w:div w:id="1928268435">
          <w:marLeft w:val="893"/>
          <w:marRight w:val="0"/>
          <w:marTop w:val="0"/>
          <w:marBottom w:val="74"/>
          <w:divBdr>
            <w:top w:val="none" w:sz="0" w:space="0" w:color="auto"/>
            <w:left w:val="none" w:sz="0" w:space="0" w:color="auto"/>
            <w:bottom w:val="none" w:sz="0" w:space="0" w:color="auto"/>
            <w:right w:val="none" w:sz="0" w:space="0" w:color="auto"/>
          </w:divBdr>
        </w:div>
        <w:div w:id="1376927741">
          <w:marLeft w:val="893"/>
          <w:marRight w:val="0"/>
          <w:marTop w:val="0"/>
          <w:marBottom w:val="74"/>
          <w:divBdr>
            <w:top w:val="none" w:sz="0" w:space="0" w:color="auto"/>
            <w:left w:val="none" w:sz="0" w:space="0" w:color="auto"/>
            <w:bottom w:val="none" w:sz="0" w:space="0" w:color="auto"/>
            <w:right w:val="none" w:sz="0" w:space="0" w:color="auto"/>
          </w:divBdr>
        </w:div>
        <w:div w:id="182985620">
          <w:marLeft w:val="893"/>
          <w:marRight w:val="0"/>
          <w:marTop w:val="0"/>
          <w:marBottom w:val="74"/>
          <w:divBdr>
            <w:top w:val="none" w:sz="0" w:space="0" w:color="auto"/>
            <w:left w:val="none" w:sz="0" w:space="0" w:color="auto"/>
            <w:bottom w:val="none" w:sz="0" w:space="0" w:color="auto"/>
            <w:right w:val="none" w:sz="0" w:space="0" w:color="auto"/>
          </w:divBdr>
        </w:div>
        <w:div w:id="545221908">
          <w:marLeft w:val="893"/>
          <w:marRight w:val="0"/>
          <w:marTop w:val="0"/>
          <w:marBottom w:val="74"/>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6511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5AIRPNAIUNRU-859666464-5626</_dlc_DocId>
    <_dlc_DocIdUrl xmlns="71c5aaf6-e6ce-465b-b873-5148d2a4c105">
      <Url>https://nokia.sharepoint.com/sites/c5g/e2earch/_layouts/15/DocIdRedir.aspx?ID=5AIRPNAIUNRU-859666464-5626</Url>
      <Description>5AIRPNAIUNRU-859666464-5626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9C07AE3F-E12A-4FBC-80CD-CD28329FB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1181</TotalTime>
  <Pages>3</Pages>
  <Words>1198</Words>
  <Characters>6099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7283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Koziol, Dawid (Nokia - PL/Wroclaw)</cp:lastModifiedBy>
  <cp:revision>104</cp:revision>
  <dcterms:created xsi:type="dcterms:W3CDTF">2016-08-12T03:53:00Z</dcterms:created>
  <dcterms:modified xsi:type="dcterms:W3CDTF">2019-10-03T16:52:00Z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ff46af37-3f1a-42bd-b6f2-85e0585da084</vt:lpwstr>
  </property>
</Properties>
</file>